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A862" w14:textId="77777777" w:rsidR="00BE1FBA" w:rsidRPr="00185F4F" w:rsidRDefault="00BE1FBA" w:rsidP="00BE1F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F4F">
        <w:rPr>
          <w:rFonts w:ascii="Times New Roman" w:hAnsi="Times New Roman" w:cs="Times New Roman"/>
          <w:b/>
          <w:sz w:val="32"/>
          <w:szCs w:val="32"/>
        </w:rPr>
        <w:t>Harrison Hee</w:t>
      </w:r>
    </w:p>
    <w:p w14:paraId="4C76AF90" w14:textId="12995051" w:rsidR="00BE1FBA" w:rsidRPr="00185F4F" w:rsidRDefault="00D93643" w:rsidP="00BE1F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SPCC</w:t>
      </w:r>
    </w:p>
    <w:p w14:paraId="0039F9BD" w14:textId="77777777" w:rsidR="00BE1FBA" w:rsidRPr="00185F4F" w:rsidRDefault="00BE1FBA" w:rsidP="00BE1FBA">
      <w:pPr>
        <w:rPr>
          <w:rFonts w:ascii="Times New Roman" w:hAnsi="Times New Roman" w:cs="Times New Roman"/>
          <w:b/>
          <w:sz w:val="24"/>
          <w:szCs w:val="24"/>
        </w:rPr>
      </w:pPr>
      <w:r w:rsidRPr="00185F4F">
        <w:rPr>
          <w:rFonts w:ascii="Times New Roman" w:hAnsi="Times New Roman" w:cs="Times New Roman"/>
          <w:b/>
          <w:sz w:val="24"/>
          <w:szCs w:val="24"/>
        </w:rPr>
        <w:t>Summary:</w:t>
      </w:r>
    </w:p>
    <w:p w14:paraId="4B2E73A5" w14:textId="61388586" w:rsidR="00BE1FBA" w:rsidRDefault="00BE1FBA" w:rsidP="00BE1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D93643">
        <w:rPr>
          <w:rFonts w:ascii="Times New Roman" w:hAnsi="Times New Roman" w:cs="Times New Roman"/>
          <w:sz w:val="24"/>
          <w:szCs w:val="24"/>
        </w:rPr>
        <w:t xml:space="preserve">Spill Prevention, Control and Countermeasures regulations mandates that facilities with a set amount of oil storage or greater must create a SPCC plan. This plan involves </w:t>
      </w:r>
      <w:r w:rsidR="00D93643" w:rsidRPr="00D93643">
        <w:rPr>
          <w:rFonts w:ascii="Times New Roman" w:hAnsi="Times New Roman" w:cs="Times New Roman"/>
          <w:sz w:val="24"/>
          <w:szCs w:val="24"/>
        </w:rPr>
        <w:t>operating procedures at the facility to prevent oil spills, control measures and countermeasures to contain, cleanup, and mitigate the effect of an oil spill on navigable waters or adjoining shorelines</w:t>
      </w:r>
      <w:r w:rsidR="00D93643">
        <w:rPr>
          <w:rFonts w:ascii="Times New Roman" w:hAnsi="Times New Roman" w:cs="Times New Roman"/>
          <w:sz w:val="24"/>
          <w:szCs w:val="24"/>
        </w:rPr>
        <w:t>. In addition, facilities under the SPCC must do the most they can in order to prevent spills, and if a spill happens, must report to the EPA.</w:t>
      </w:r>
    </w:p>
    <w:p w14:paraId="50174C52" w14:textId="731813A0" w:rsidR="00BE1FBA" w:rsidRPr="00185F4F" w:rsidRDefault="00D93643" w:rsidP="00BE1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Regulation</w:t>
      </w:r>
      <w:r w:rsidR="00BE1FBA" w:rsidRPr="00185F4F">
        <w:rPr>
          <w:rFonts w:ascii="Times New Roman" w:hAnsi="Times New Roman" w:cs="Times New Roman"/>
          <w:b/>
          <w:sz w:val="24"/>
          <w:szCs w:val="24"/>
        </w:rPr>
        <w:t xml:space="preserve"> Name:</w:t>
      </w:r>
    </w:p>
    <w:p w14:paraId="28D7C3AD" w14:textId="6CB56882" w:rsidR="00BE1FBA" w:rsidRDefault="00BE1FBA" w:rsidP="00BE1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3643">
        <w:rPr>
          <w:rFonts w:ascii="Times New Roman" w:hAnsi="Times New Roman" w:cs="Times New Roman"/>
          <w:sz w:val="24"/>
          <w:szCs w:val="24"/>
        </w:rPr>
        <w:t>40 CFR 112 - SPCC</w:t>
      </w:r>
    </w:p>
    <w:p w14:paraId="787A8E2C" w14:textId="77777777" w:rsidR="00BE1FBA" w:rsidRPr="00185F4F" w:rsidRDefault="00BE1FBA" w:rsidP="00BE1FBA">
      <w:pPr>
        <w:rPr>
          <w:rFonts w:ascii="Times New Roman" w:hAnsi="Times New Roman" w:cs="Times New Roman"/>
          <w:b/>
          <w:sz w:val="24"/>
          <w:szCs w:val="24"/>
        </w:rPr>
      </w:pPr>
      <w:r w:rsidRPr="00185F4F">
        <w:rPr>
          <w:rFonts w:ascii="Times New Roman" w:hAnsi="Times New Roman" w:cs="Times New Roman"/>
          <w:b/>
          <w:sz w:val="24"/>
          <w:szCs w:val="24"/>
        </w:rPr>
        <w:t>Applicability:</w:t>
      </w:r>
    </w:p>
    <w:p w14:paraId="10AD3562" w14:textId="4C8112F7" w:rsidR="00BE1FBA" w:rsidRDefault="00BE1FBA" w:rsidP="00BE1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3643">
        <w:rPr>
          <w:rFonts w:ascii="Times New Roman" w:hAnsi="Times New Roman" w:cs="Times New Roman"/>
          <w:sz w:val="24"/>
          <w:szCs w:val="24"/>
        </w:rPr>
        <w:t xml:space="preserve">Any facility with an aggregate aboveground storage volume of at least 1,320 U.S. gallons or a completely buried capacity greater than 42,000 U.S. gallons. Storage capacity is measured with containers 55 U.S. gallons or greater in size. </w:t>
      </w:r>
    </w:p>
    <w:p w14:paraId="5FE5ACC4" w14:textId="77777777" w:rsidR="00BE1FBA" w:rsidRPr="00185F4F" w:rsidRDefault="00BE1FBA" w:rsidP="00BE1FBA">
      <w:pPr>
        <w:rPr>
          <w:rFonts w:ascii="Times New Roman" w:hAnsi="Times New Roman" w:cs="Times New Roman"/>
          <w:b/>
          <w:sz w:val="24"/>
          <w:szCs w:val="24"/>
        </w:rPr>
      </w:pPr>
      <w:r w:rsidRPr="00185F4F">
        <w:rPr>
          <w:rFonts w:ascii="Times New Roman" w:hAnsi="Times New Roman" w:cs="Times New Roman"/>
          <w:b/>
          <w:sz w:val="24"/>
          <w:szCs w:val="24"/>
        </w:rPr>
        <w:t>Processing Times:</w:t>
      </w:r>
    </w:p>
    <w:p w14:paraId="0921D5F0" w14:textId="2F954D9A" w:rsidR="00BE1FBA" w:rsidRPr="00D93643" w:rsidRDefault="00D93643" w:rsidP="00712CB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93643">
        <w:rPr>
          <w:rFonts w:ascii="Times New Roman" w:hAnsi="Times New Roman" w:cs="Times New Roman"/>
          <w:sz w:val="24"/>
          <w:szCs w:val="24"/>
        </w:rPr>
        <w:t>An SPCCP is not processed but m</w:t>
      </w:r>
      <w:r w:rsidRPr="00D93643">
        <w:rPr>
          <w:rFonts w:ascii="Times New Roman" w:hAnsi="Times New Roman" w:cs="Times New Roman"/>
          <w:sz w:val="24"/>
          <w:szCs w:val="24"/>
        </w:rPr>
        <w:t xml:space="preserve">ust be certified by professional engineer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D93643">
        <w:rPr>
          <w:rFonts w:ascii="Times New Roman" w:hAnsi="Times New Roman" w:cs="Times New Roman"/>
          <w:sz w:val="24"/>
          <w:szCs w:val="24"/>
        </w:rPr>
        <w:t>self-certifiable if the total aboveground oil storage capacity is of 10,000 gallons or less or in 3 years prior to the date of certification, there was no single discharge from facility greater than 1,000 U.S. gallons or no two discharges exceeding 42 U.S. gallons within a 12-month period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91FE4" w14:textId="77777777" w:rsidR="00BE1FBA" w:rsidRPr="00185F4F" w:rsidRDefault="00BE1FBA" w:rsidP="00BE1FBA">
      <w:pPr>
        <w:rPr>
          <w:rFonts w:ascii="Times New Roman" w:hAnsi="Times New Roman" w:cs="Times New Roman"/>
          <w:b/>
          <w:sz w:val="24"/>
          <w:szCs w:val="24"/>
        </w:rPr>
      </w:pPr>
      <w:r w:rsidRPr="00185F4F">
        <w:rPr>
          <w:rFonts w:ascii="Times New Roman" w:hAnsi="Times New Roman" w:cs="Times New Roman"/>
          <w:b/>
          <w:sz w:val="24"/>
          <w:szCs w:val="24"/>
        </w:rPr>
        <w:t>Agency Coordination:</w:t>
      </w:r>
    </w:p>
    <w:p w14:paraId="220786FE" w14:textId="3F1F15BD" w:rsidR="004B7E66" w:rsidRPr="004B7E66" w:rsidRDefault="00BE1FBA" w:rsidP="00D9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3643">
        <w:rPr>
          <w:rFonts w:ascii="Times New Roman" w:hAnsi="Times New Roman" w:cs="Times New Roman"/>
          <w:sz w:val="24"/>
          <w:szCs w:val="24"/>
        </w:rPr>
        <w:t>Headed by the Environmental Protection Agency (EPA).</w:t>
      </w:r>
      <w:r w:rsidR="00712CB3">
        <w:rPr>
          <w:rFonts w:ascii="Times New Roman" w:hAnsi="Times New Roman" w:cs="Times New Roman"/>
          <w:sz w:val="24"/>
          <w:szCs w:val="24"/>
        </w:rPr>
        <w:t xml:space="preserve"> Upon oil spillage into navigable waters, the National Response Center (NRC) must be contacted (1-800-424-8802). For emergency management, the EPA headquarters can be contacted at 1-202-564-8600. For other information specifically related to Alaska and SPCC, the EPA Alaska Operations Office (1-907-271-5083) and the US EPA Region X office (1-800-424-4372) can be contacted.</w:t>
      </w:r>
    </w:p>
    <w:p w14:paraId="4A816973" w14:textId="77777777" w:rsidR="00BE1FBA" w:rsidRPr="00185F4F" w:rsidRDefault="00BE1FBA" w:rsidP="00BE1FBA">
      <w:pPr>
        <w:rPr>
          <w:rFonts w:ascii="Times New Roman" w:hAnsi="Times New Roman" w:cs="Times New Roman"/>
          <w:b/>
          <w:sz w:val="24"/>
          <w:szCs w:val="24"/>
        </w:rPr>
      </w:pPr>
      <w:r w:rsidRPr="00185F4F">
        <w:rPr>
          <w:rFonts w:ascii="Times New Roman" w:hAnsi="Times New Roman" w:cs="Times New Roman"/>
          <w:b/>
          <w:sz w:val="24"/>
          <w:szCs w:val="24"/>
        </w:rPr>
        <w:t>Information Necessary:</w:t>
      </w:r>
    </w:p>
    <w:p w14:paraId="61B73AC4" w14:textId="30D2F40A" w:rsidR="00BE1FBA" w:rsidRDefault="00BE1FBA" w:rsidP="00BE1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2CB3">
        <w:rPr>
          <w:rFonts w:ascii="Times New Roman" w:hAnsi="Times New Roman" w:cs="Times New Roman"/>
          <w:sz w:val="24"/>
          <w:szCs w:val="24"/>
        </w:rPr>
        <w:t xml:space="preserve">The EPA does not need all facilities to submit an SPCCP. However, upon request, an SPCC must be provided to them. </w:t>
      </w:r>
      <w:r w:rsidR="00204966">
        <w:rPr>
          <w:rFonts w:ascii="Times New Roman" w:hAnsi="Times New Roman" w:cs="Times New Roman"/>
          <w:sz w:val="24"/>
          <w:szCs w:val="24"/>
        </w:rPr>
        <w:t>If spillage occurs, the following information is necessary:</w:t>
      </w:r>
    </w:p>
    <w:p w14:paraId="15A9F4B1" w14:textId="77777777" w:rsidR="00204966" w:rsidRPr="00204966" w:rsidRDefault="00204966" w:rsidP="0020496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>Name and location of facility</w:t>
      </w:r>
    </w:p>
    <w:p w14:paraId="341CE5DF" w14:textId="77777777" w:rsidR="00204966" w:rsidRPr="00204966" w:rsidRDefault="00204966" w:rsidP="0020496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>Owner’s or operator’s name</w:t>
      </w:r>
    </w:p>
    <w:p w14:paraId="53AB5EFF" w14:textId="77777777" w:rsidR="00204966" w:rsidRPr="00204966" w:rsidRDefault="00204966" w:rsidP="0020496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>Maximum storage or handling capacity of the facility and average daily throughput</w:t>
      </w:r>
    </w:p>
    <w:p w14:paraId="7068454F" w14:textId="77777777" w:rsidR="00204966" w:rsidRPr="00204966" w:rsidRDefault="00204966" w:rsidP="0020496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>Corrective actions and countermeasures taken</w:t>
      </w:r>
    </w:p>
    <w:p w14:paraId="6B37DE62" w14:textId="77777777" w:rsidR="00204966" w:rsidRPr="00204966" w:rsidRDefault="00204966" w:rsidP="0020496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lastRenderedPageBreak/>
        <w:t>Description of facility including maps and diagrams if necessary</w:t>
      </w:r>
    </w:p>
    <w:p w14:paraId="595B4B03" w14:textId="77777777" w:rsidR="00204966" w:rsidRPr="00204966" w:rsidRDefault="00204966" w:rsidP="0020496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>Cause of discharge including a failure analysis</w:t>
      </w:r>
    </w:p>
    <w:p w14:paraId="1E59A435" w14:textId="77777777" w:rsidR="00204966" w:rsidRPr="00204966" w:rsidRDefault="00204966" w:rsidP="0020496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4966">
        <w:rPr>
          <w:rFonts w:ascii="Times New Roman" w:hAnsi="Times New Roman" w:cs="Times New Roman"/>
          <w:sz w:val="24"/>
          <w:szCs w:val="24"/>
        </w:rPr>
        <w:t>Additional preventative measures taken or planned for re-occurrence</w:t>
      </w:r>
    </w:p>
    <w:p w14:paraId="235F7118" w14:textId="77777777" w:rsidR="004B7E66" w:rsidRPr="00185F4F" w:rsidRDefault="004B7E66" w:rsidP="00BE1FBA">
      <w:pPr>
        <w:rPr>
          <w:b/>
        </w:rPr>
      </w:pPr>
      <w:r w:rsidRPr="00185F4F">
        <w:rPr>
          <w:rFonts w:ascii="Times New Roman" w:hAnsi="Times New Roman" w:cs="Times New Roman"/>
          <w:b/>
          <w:sz w:val="24"/>
          <w:szCs w:val="24"/>
        </w:rPr>
        <w:t>Special Definitions:</w:t>
      </w:r>
      <w:r w:rsidRPr="00185F4F">
        <w:rPr>
          <w:b/>
        </w:rPr>
        <w:tab/>
      </w:r>
    </w:p>
    <w:p w14:paraId="48A624F1" w14:textId="19E083FC" w:rsidR="00712CB3" w:rsidRPr="00712CB3" w:rsidRDefault="00712CB3" w:rsidP="00712CB3">
      <w:pPr>
        <w:rPr>
          <w:rFonts w:ascii="Times New Roman" w:hAnsi="Times New Roman" w:cs="Times New Roman"/>
          <w:sz w:val="24"/>
          <w:szCs w:val="24"/>
        </w:rPr>
      </w:pPr>
      <w:r w:rsidRPr="00712CB3">
        <w:rPr>
          <w:rFonts w:ascii="Times New Roman" w:hAnsi="Times New Roman" w:cs="Times New Roman"/>
          <w:sz w:val="24"/>
          <w:szCs w:val="24"/>
        </w:rPr>
        <w:t>Alteration: Any work on a container involving cutting, burning, welding, or heating operations that changes the physical dimensions or configuration of the container.</w:t>
      </w:r>
    </w:p>
    <w:p w14:paraId="28E400C0" w14:textId="77777777" w:rsidR="00712CB3" w:rsidRPr="00712CB3" w:rsidRDefault="00712CB3" w:rsidP="00712CB3">
      <w:pPr>
        <w:rPr>
          <w:rFonts w:ascii="Times New Roman" w:hAnsi="Times New Roman" w:cs="Times New Roman"/>
          <w:sz w:val="24"/>
          <w:szCs w:val="24"/>
        </w:rPr>
      </w:pPr>
      <w:r w:rsidRPr="00712CB3">
        <w:rPr>
          <w:rFonts w:ascii="Times New Roman" w:hAnsi="Times New Roman" w:cs="Times New Roman"/>
          <w:sz w:val="24"/>
          <w:szCs w:val="24"/>
        </w:rPr>
        <w:t>Animal fat: Non-petroleum oil, fat, or grease of animal, fish, or marine mammal origin.</w:t>
      </w:r>
    </w:p>
    <w:p w14:paraId="4DFD9F5D" w14:textId="77777777" w:rsidR="00712CB3" w:rsidRPr="00712CB3" w:rsidRDefault="00712CB3" w:rsidP="00712CB3">
      <w:pPr>
        <w:rPr>
          <w:rFonts w:ascii="Times New Roman" w:hAnsi="Times New Roman" w:cs="Times New Roman"/>
          <w:sz w:val="24"/>
          <w:szCs w:val="24"/>
        </w:rPr>
      </w:pPr>
      <w:r w:rsidRPr="00712CB3">
        <w:rPr>
          <w:rFonts w:ascii="Times New Roman" w:hAnsi="Times New Roman" w:cs="Times New Roman"/>
          <w:sz w:val="24"/>
          <w:szCs w:val="24"/>
        </w:rPr>
        <w:t>Breakout tank: Container used to relieve surges of in an oil pipeline system or to receive and store oil transported by a pipeline for reinjection and continued transportation by the pipeline.</w:t>
      </w:r>
    </w:p>
    <w:p w14:paraId="7BEA8212" w14:textId="752F2C49" w:rsidR="00712CB3" w:rsidRPr="00712CB3" w:rsidRDefault="00712CB3" w:rsidP="00204966">
      <w:pPr>
        <w:rPr>
          <w:rFonts w:ascii="Times New Roman" w:hAnsi="Times New Roman" w:cs="Times New Roman"/>
          <w:sz w:val="24"/>
          <w:szCs w:val="24"/>
        </w:rPr>
      </w:pPr>
      <w:r w:rsidRPr="00712CB3">
        <w:rPr>
          <w:rFonts w:ascii="Times New Roman" w:hAnsi="Times New Roman" w:cs="Times New Roman"/>
          <w:sz w:val="24"/>
          <w:szCs w:val="24"/>
        </w:rPr>
        <w:t>Injury: A measurable adverse change in the chemical or physical quality or the viability of a natural resource resulting either directly or indirectly from exposure to a discharge.</w:t>
      </w:r>
    </w:p>
    <w:p w14:paraId="0A9F17C4" w14:textId="68FEB53F" w:rsidR="00712CB3" w:rsidRDefault="00712CB3" w:rsidP="00204966">
      <w:pPr>
        <w:rPr>
          <w:rFonts w:ascii="Times New Roman" w:hAnsi="Times New Roman" w:cs="Times New Roman"/>
          <w:sz w:val="24"/>
          <w:szCs w:val="24"/>
        </w:rPr>
      </w:pPr>
      <w:r w:rsidRPr="00712CB3">
        <w:rPr>
          <w:rFonts w:ascii="Times New Roman" w:hAnsi="Times New Roman" w:cs="Times New Roman"/>
          <w:sz w:val="24"/>
          <w:szCs w:val="24"/>
        </w:rPr>
        <w:t>Maximum extent practicable: Within the limitations used to determine oil spill planning resources and response times for recovery, shoreline protection, and cleanup.</w:t>
      </w:r>
    </w:p>
    <w:p w14:paraId="0E7C1984" w14:textId="52EB99B7" w:rsidR="00E3024A" w:rsidRDefault="00E3024A" w:rsidP="00204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Partially buried tank: A storage container that is partially inserted or constructed in the ground, but not entirely below grade, and not completed covered with earth, sand, gravel, asphalt, or other material.</w:t>
      </w:r>
      <w:bookmarkStart w:id="0" w:name="_GoBack"/>
      <w:bookmarkEnd w:id="0"/>
    </w:p>
    <w:p w14:paraId="2A9EFC79" w14:textId="3048840D" w:rsidR="00712CB3" w:rsidRPr="00712CB3" w:rsidRDefault="00E3024A" w:rsidP="00204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Storage capacity: Shell capacity of a container.</w:t>
      </w:r>
    </w:p>
    <w:p w14:paraId="6897A1FB" w14:textId="77777777" w:rsidR="004B7E66" w:rsidRPr="00185F4F" w:rsidRDefault="004B7E66" w:rsidP="00BE1FBA">
      <w:pPr>
        <w:rPr>
          <w:rFonts w:ascii="Times New Roman" w:hAnsi="Times New Roman" w:cs="Times New Roman"/>
          <w:b/>
          <w:sz w:val="24"/>
          <w:szCs w:val="24"/>
        </w:rPr>
      </w:pPr>
      <w:r w:rsidRPr="00185F4F">
        <w:rPr>
          <w:rFonts w:ascii="Times New Roman" w:hAnsi="Times New Roman" w:cs="Times New Roman"/>
          <w:b/>
          <w:sz w:val="24"/>
          <w:szCs w:val="24"/>
        </w:rPr>
        <w:t>Enforcement and Penalties:</w:t>
      </w:r>
    </w:p>
    <w:p w14:paraId="1C2E1837" w14:textId="704AFBF4" w:rsidR="004B7E66" w:rsidRDefault="004B7E66" w:rsidP="00BE1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966">
        <w:rPr>
          <w:rFonts w:ascii="Times New Roman" w:hAnsi="Times New Roman" w:cs="Times New Roman"/>
          <w:sz w:val="24"/>
          <w:szCs w:val="24"/>
        </w:rPr>
        <w:t>The EPA may fine a facility over $32,000 per day if corrective actions are not taken. Failure to review a plan after 3 years or modifying it with amendments can incur fess starting at $1,500.</w:t>
      </w:r>
    </w:p>
    <w:p w14:paraId="20655CC7" w14:textId="23B42A69" w:rsidR="00185F4F" w:rsidRPr="00204966" w:rsidRDefault="00204966" w:rsidP="00BE1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185F4F" w:rsidRPr="00185F4F">
        <w:rPr>
          <w:rFonts w:ascii="Times New Roman" w:hAnsi="Times New Roman" w:cs="Times New Roman"/>
          <w:b/>
          <w:sz w:val="24"/>
          <w:szCs w:val="24"/>
        </w:rPr>
        <w:t>Regu</w:t>
      </w:r>
      <w:r w:rsidR="004B7E66" w:rsidRPr="00185F4F">
        <w:rPr>
          <w:rFonts w:ascii="Times New Roman" w:hAnsi="Times New Roman" w:cs="Times New Roman"/>
          <w:b/>
          <w:sz w:val="24"/>
          <w:szCs w:val="24"/>
        </w:rPr>
        <w:t>lations</w:t>
      </w:r>
      <w:r w:rsidR="00185F4F" w:rsidRPr="00185F4F">
        <w:rPr>
          <w:rFonts w:ascii="Times New Roman" w:hAnsi="Times New Roman" w:cs="Times New Roman"/>
          <w:b/>
          <w:sz w:val="24"/>
          <w:szCs w:val="24"/>
        </w:rPr>
        <w:t>:</w:t>
      </w:r>
    </w:p>
    <w:p w14:paraId="6BA501A7" w14:textId="77777777" w:rsidR="00185F4F" w:rsidRPr="00185F4F" w:rsidRDefault="00185F4F" w:rsidP="00BE1FBA">
      <w:pPr>
        <w:rPr>
          <w:rFonts w:ascii="Times New Roman" w:hAnsi="Times New Roman" w:cs="Times New Roman"/>
          <w:sz w:val="24"/>
          <w:szCs w:val="24"/>
        </w:rPr>
      </w:pPr>
      <w:r w:rsidRPr="00185F4F">
        <w:rPr>
          <w:rFonts w:ascii="Times New Roman" w:hAnsi="Times New Roman" w:cs="Times New Roman"/>
          <w:sz w:val="24"/>
          <w:szCs w:val="24"/>
        </w:rPr>
        <w:t>Federal – CFR Title 40 Chapter 1 Subchapter D Clean Water Act</w:t>
      </w:r>
    </w:p>
    <w:p w14:paraId="343D48D2" w14:textId="77777777" w:rsidR="00185F4F" w:rsidRPr="004B7E66" w:rsidRDefault="00185F4F" w:rsidP="00BE1FBA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5" w:history="1">
        <w:r>
          <w:rPr>
            <w:rStyle w:val="Hyperlink"/>
          </w:rPr>
          <w:t>https://www.epa.gov/laws-regulations/summary-clean-water-act?fbclid=IwAR2-aBcKmoKf3LhuH0VABCydGbr8DWdWvm_u_2YUBEyPMBpg9MlIlioVPVY</w:t>
        </w:r>
      </w:hyperlink>
    </w:p>
    <w:p w14:paraId="2E1F8285" w14:textId="1A1409F3" w:rsidR="00BE1FBA" w:rsidRPr="00185F4F" w:rsidRDefault="00185F4F" w:rsidP="00BE1FBA">
      <w:pPr>
        <w:rPr>
          <w:rFonts w:ascii="Times New Roman" w:hAnsi="Times New Roman" w:cs="Times New Roman"/>
          <w:b/>
          <w:sz w:val="24"/>
          <w:szCs w:val="24"/>
        </w:rPr>
      </w:pPr>
      <w:r w:rsidRPr="00185F4F">
        <w:rPr>
          <w:rFonts w:ascii="Times New Roman" w:hAnsi="Times New Roman" w:cs="Times New Roman"/>
          <w:b/>
          <w:sz w:val="24"/>
          <w:szCs w:val="24"/>
        </w:rPr>
        <w:t>Other Sources:</w:t>
      </w:r>
    </w:p>
    <w:p w14:paraId="59AB6ADE" w14:textId="276EBDF5" w:rsidR="00204966" w:rsidRPr="00204966" w:rsidRDefault="00204966" w:rsidP="0020496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04966">
          <w:rPr>
            <w:rStyle w:val="Hyperlink"/>
            <w:rFonts w:ascii="Times New Roman" w:hAnsi="Times New Roman" w:cs="Times New Roman"/>
            <w:sz w:val="24"/>
            <w:szCs w:val="24"/>
          </w:rPr>
          <w:t>https://www.epa.gov/oil-spills-prevention-and-preparedness-regulations</w:t>
        </w:r>
      </w:hyperlink>
    </w:p>
    <w:p w14:paraId="202FAB34" w14:textId="1CDF1C51" w:rsidR="00204966" w:rsidRPr="00204966" w:rsidRDefault="00204966" w:rsidP="0020496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04966">
          <w:rPr>
            <w:rStyle w:val="Hyperlink"/>
            <w:rFonts w:ascii="Times New Roman" w:hAnsi="Times New Roman" w:cs="Times New Roman"/>
            <w:sz w:val="24"/>
            <w:szCs w:val="24"/>
          </w:rPr>
          <w:t>https://www.epa.gov/sites/production/files/2014-04/documents/b_40cfr112.pdf?fbclid=IwAR2_izwhe_x4QAfpYYkmDUWHMoCvmdPlNKjWt_8h_h3mAHoegtK0gjVSM3M</w:t>
        </w:r>
      </w:hyperlink>
    </w:p>
    <w:p w14:paraId="5FC7BA96" w14:textId="76A47DF2" w:rsidR="00204966" w:rsidRPr="00204966" w:rsidRDefault="00204966" w:rsidP="0020496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04966">
          <w:rPr>
            <w:rStyle w:val="Hyperlink"/>
            <w:rFonts w:ascii="Times New Roman" w:hAnsi="Times New Roman" w:cs="Times New Roman"/>
            <w:sz w:val="24"/>
            <w:szCs w:val="24"/>
          </w:rPr>
          <w:t>https://www.epa.gov/sites/production/files/documents/spccbluebroch.pdf</w:t>
        </w:r>
      </w:hyperlink>
    </w:p>
    <w:p w14:paraId="7ACA7CF4" w14:textId="77777777" w:rsidR="00185F4F" w:rsidRPr="00BE1FBA" w:rsidRDefault="00185F4F" w:rsidP="00BE1FBA">
      <w:pPr>
        <w:rPr>
          <w:rFonts w:ascii="Times New Roman" w:hAnsi="Times New Roman" w:cs="Times New Roman"/>
          <w:sz w:val="24"/>
          <w:szCs w:val="24"/>
        </w:rPr>
      </w:pPr>
    </w:p>
    <w:sectPr w:rsidR="00185F4F" w:rsidRPr="00BE1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071E"/>
    <w:multiLevelType w:val="hybridMultilevel"/>
    <w:tmpl w:val="77DA6BE2"/>
    <w:lvl w:ilvl="0" w:tplc="5E1234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CCB3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38F2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184E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2289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B4C6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9C19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4210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FCE8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B5B05D2"/>
    <w:multiLevelType w:val="hybridMultilevel"/>
    <w:tmpl w:val="D1CE71E4"/>
    <w:lvl w:ilvl="0" w:tplc="9E663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C7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29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28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80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0D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C3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2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4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D26FA8"/>
    <w:multiLevelType w:val="hybridMultilevel"/>
    <w:tmpl w:val="A40291DC"/>
    <w:lvl w:ilvl="0" w:tplc="12B896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186D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54D9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70CF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FCC8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06B4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EEB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948A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A1A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3601B39"/>
    <w:multiLevelType w:val="hybridMultilevel"/>
    <w:tmpl w:val="0FFA5120"/>
    <w:lvl w:ilvl="0" w:tplc="8FCAC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67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00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23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48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6E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8AF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E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15608C"/>
    <w:multiLevelType w:val="hybridMultilevel"/>
    <w:tmpl w:val="28AA6BAA"/>
    <w:lvl w:ilvl="0" w:tplc="D396AD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BC51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2850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9AD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FC82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6EE9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9834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4A3B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B213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8104347"/>
    <w:multiLevelType w:val="hybridMultilevel"/>
    <w:tmpl w:val="815AFF5A"/>
    <w:lvl w:ilvl="0" w:tplc="A7784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02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49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08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E3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A6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EA0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2E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04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BA"/>
    <w:rsid w:val="00185F4F"/>
    <w:rsid w:val="00204966"/>
    <w:rsid w:val="004B7E66"/>
    <w:rsid w:val="00712CB3"/>
    <w:rsid w:val="00727FA8"/>
    <w:rsid w:val="00BE1FBA"/>
    <w:rsid w:val="00D93643"/>
    <w:rsid w:val="00E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8727"/>
  <w15:chartTrackingRefBased/>
  <w15:docId w15:val="{F5A20E7B-17AB-49D6-9AAB-3DC7C6D2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E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6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7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sites/production/files/documents/spccbluebroc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a.gov/sites/production/files/2014-04/documents/b_40cfr112.pdf?fbclid=IwAR2_izwhe_x4QAfpYYkmDUWHMoCvmdPlNKjWt_8h_h3mAHoegtK0gjVSM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oil-spills-prevention-and-preparedness-regulations" TargetMode="External"/><Relationship Id="rId5" Type="http://schemas.openxmlformats.org/officeDocument/2006/relationships/hyperlink" Target="https://www.epa.gov/laws-regulations/summary-clean-water-act?fbclid=IwAR2-aBcKmoKf3LhuH0VABCydGbr8DWdWvm_u_2YUBEyPMBpg9MlIlioVPV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Fairbanks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Patron</dc:creator>
  <cp:keywords/>
  <dc:description/>
  <cp:lastModifiedBy>Harrison Hee</cp:lastModifiedBy>
  <cp:revision>2</cp:revision>
  <dcterms:created xsi:type="dcterms:W3CDTF">2020-04-11T01:12:00Z</dcterms:created>
  <dcterms:modified xsi:type="dcterms:W3CDTF">2020-04-11T01:12:00Z</dcterms:modified>
</cp:coreProperties>
</file>